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40" w:lineRule="exact"/>
        <w:jc w:val="both"/>
        <w:rPr>
          <w:rFonts w:ascii="黑体" w:hAnsi="黑体" w:eastAsia="黑体" w:cs="黑体"/>
          <w:sz w:val="32"/>
          <w:szCs w:val="32"/>
        </w:rPr>
      </w:pPr>
      <w:r>
        <w:rPr>
          <w:rFonts w:hint="eastAsia" w:ascii="黑体" w:hAnsi="黑体" w:eastAsia="黑体" w:cs="黑体"/>
          <w:sz w:val="32"/>
          <w:szCs w:val="32"/>
        </w:rPr>
        <w:t>附件2</w:t>
      </w:r>
    </w:p>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《攀西经济区国土空间规划</w:t>
      </w:r>
    </w:p>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（2021-</w:t>
      </w:r>
      <w:r>
        <w:rPr>
          <w:rFonts w:ascii="方正小标宋简体" w:hAnsi="方正小标宋简体" w:eastAsia="方正小标宋简体" w:cs="方正小标宋简体"/>
          <w:sz w:val="44"/>
          <w:szCs w:val="44"/>
        </w:rPr>
        <w:t>2035年</w:t>
      </w:r>
      <w:r>
        <w:rPr>
          <w:rFonts w:hint="eastAsia" w:ascii="方正小标宋简体" w:hAnsi="方正小标宋简体" w:eastAsia="方正小标宋简体" w:cs="方正小标宋简体"/>
          <w:sz w:val="44"/>
          <w:szCs w:val="44"/>
        </w:rPr>
        <w:t>）（征求意见稿）》</w:t>
      </w:r>
    </w:p>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起草说明材料</w:t>
      </w:r>
    </w:p>
    <w:p>
      <w:pPr>
        <w:pStyle w:val="2"/>
        <w:spacing w:line="640" w:lineRule="exact"/>
        <w:jc w:val="center"/>
        <w:rPr>
          <w:rFonts w:ascii="方正小标宋简体" w:hAnsi="方正小标宋简体" w:eastAsia="方正小标宋简体" w:cs="方正小标宋简体"/>
          <w:sz w:val="40"/>
          <w:szCs w:val="40"/>
        </w:rPr>
      </w:pPr>
    </w:p>
    <w:p>
      <w:pPr>
        <w:spacing w:line="600" w:lineRule="exact"/>
        <w:ind w:firstLine="640" w:firstLineChars="200"/>
        <w:outlineLvl w:val="0"/>
        <w:rPr>
          <w:rFonts w:ascii="Times New Roman" w:hAnsi="Times New Roman" w:eastAsia="黑体"/>
          <w:sz w:val="32"/>
          <w:szCs w:val="32"/>
        </w:rPr>
      </w:pPr>
      <w:r>
        <w:rPr>
          <w:rFonts w:ascii="Times New Roman" w:hAnsi="Times New Roman" w:eastAsia="黑体"/>
          <w:sz w:val="32"/>
          <w:szCs w:val="32"/>
        </w:rPr>
        <w:t>一、</w:t>
      </w:r>
      <w:r>
        <w:rPr>
          <w:rFonts w:hint="eastAsia" w:eastAsia="黑体"/>
          <w:sz w:val="32"/>
          <w:szCs w:val="32"/>
        </w:rPr>
        <w:t>规划背景</w:t>
      </w:r>
    </w:p>
    <w:p>
      <w:pPr>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攀西经济区是长江上游重要的生态屏障，特殊的地质构造使得攀西经济区成为战略性矿产资源富集的“聚宝盆”，同时得天独厚的气候和水土条件孕育了富饶的安宁河流域“天府第二粮仓”。攀西经济区是四川省实现“四化同步、城乡融合、五区共兴”、建设社会主义现代化四川的重要空间支撑。</w:t>
      </w:r>
    </w:p>
    <w:p>
      <w:pPr>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攀西经济区国土空间规划是整体谋划攀西经济区国土空间保护开发新格局，统筹关键性空间资源配置，推进跨市级行政区协调发展的国土空间专项规划，是指导片区各市州协同开展保护、开发、利用、整治、修复等各类国土空间活动的指导性文件，也是编制市县国土空间总体规划的重要依据。</w:t>
      </w:r>
    </w:p>
    <w:p>
      <w:pPr>
        <w:spacing w:line="600" w:lineRule="exact"/>
        <w:ind w:firstLine="640"/>
        <w:rPr>
          <w:rFonts w:ascii="Times New Roman" w:hAnsi="Times New Roman" w:eastAsia="仿宋_GB2312"/>
          <w:sz w:val="32"/>
          <w:szCs w:val="32"/>
        </w:rPr>
      </w:pPr>
      <w:r>
        <w:rPr>
          <w:rFonts w:hint="eastAsia" w:ascii="Times New Roman" w:hAnsi="Times New Roman" w:eastAsia="仿宋_GB2312"/>
          <w:sz w:val="32"/>
          <w:szCs w:val="32"/>
        </w:rPr>
        <w:t>规划范围包括攀枝花市和凉山彝族自治州2个市（州），22个县（市、区），区域面积6.8万平方公里。规划基期为2020年，近期目标年为2025年，远期目标年为2035年。</w:t>
      </w:r>
    </w:p>
    <w:p>
      <w:pPr>
        <w:spacing w:line="600" w:lineRule="exact"/>
        <w:ind w:firstLine="640" w:firstLineChars="200"/>
        <w:outlineLvl w:val="0"/>
        <w:rPr>
          <w:rFonts w:ascii="Times New Roman" w:hAnsi="Times New Roman" w:eastAsia="黑体"/>
          <w:sz w:val="32"/>
          <w:szCs w:val="32"/>
        </w:rPr>
      </w:pPr>
      <w:r>
        <w:rPr>
          <w:rFonts w:ascii="Times New Roman" w:hAnsi="Times New Roman" w:eastAsia="黑体"/>
          <w:sz w:val="32"/>
          <w:szCs w:val="32"/>
        </w:rPr>
        <w:t>二、</w:t>
      </w:r>
      <w:r>
        <w:rPr>
          <w:rFonts w:hint="eastAsia" w:eastAsia="黑体"/>
          <w:sz w:val="32"/>
          <w:szCs w:val="32"/>
        </w:rPr>
        <w:t>规划内容</w:t>
      </w:r>
    </w:p>
    <w:p>
      <w:pPr>
        <w:spacing w:line="600" w:lineRule="exact"/>
        <w:ind w:firstLine="640"/>
        <w:rPr>
          <w:rFonts w:eastAsia="仿宋_GB2312"/>
          <w:color w:val="000000"/>
          <w:kern w:val="0"/>
          <w:sz w:val="32"/>
          <w:szCs w:val="32"/>
        </w:rPr>
      </w:pPr>
      <w:r>
        <w:rPr>
          <w:rFonts w:hint="eastAsia" w:eastAsia="仿宋_GB2312"/>
          <w:color w:val="000000"/>
          <w:kern w:val="0"/>
          <w:sz w:val="32"/>
          <w:szCs w:val="32"/>
        </w:rPr>
        <w:t>本规划在深化和落实四川省国土空间规划相关要求的基础上，立足攀西经济区自然地理特征及发展现状，结合双评价分析，优化攀西经济区国土空间开发和保护格局，引导形成科学、适度、有序的国土空间布局体系，为攀西经济区实现高质量发展奠定空间基础。现规划内容简要介绍如下。</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明确战略定位</w:t>
      </w:r>
    </w:p>
    <w:p>
      <w:pPr>
        <w:spacing w:line="600" w:lineRule="exact"/>
        <w:ind w:firstLine="640"/>
        <w:rPr>
          <w:rFonts w:hint="eastAsia"/>
        </w:rPr>
      </w:pPr>
      <w:r>
        <w:rPr>
          <w:rFonts w:hint="eastAsia" w:eastAsia="仿宋_GB2312"/>
          <w:color w:val="000000"/>
          <w:kern w:val="0"/>
          <w:sz w:val="32"/>
          <w:szCs w:val="32"/>
        </w:rPr>
        <w:t>全面落实四川省第十二次党代会和省委十二届二次全会系列部署，依托本地生态、能源矿产、特色农业和民族文化等优势资源，加快建设国家战略资源创新开发试验区、全国重要的清洁能源基地、全国优质特色农产品基地、阳光康养旅游目的地，推动资源优势进一步转化为发展优势，支撑“四化同步、城乡融合、五区共兴”全面落地见效。</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构建国土空间开发保护新格局</w:t>
      </w:r>
    </w:p>
    <w:p>
      <w:pPr>
        <w:spacing w:line="600" w:lineRule="exact"/>
        <w:ind w:firstLine="640"/>
        <w:rPr>
          <w:rFonts w:hint="eastAsia" w:eastAsia="仿宋_GB2312"/>
          <w:color w:val="000000"/>
          <w:kern w:val="0"/>
          <w:sz w:val="32"/>
          <w:szCs w:val="32"/>
        </w:rPr>
      </w:pPr>
      <w:r>
        <w:rPr>
          <w:rFonts w:hint="eastAsia" w:eastAsia="仿宋_GB2312"/>
          <w:color w:val="000000"/>
          <w:kern w:val="0"/>
          <w:sz w:val="32"/>
          <w:szCs w:val="32"/>
        </w:rPr>
        <w:t>落实全省“三区三线”划定成果，深化主体功能区战略，优化农业、生态和城镇空间布局，按照“面上保育、点上培育”的思路，构建“一区两屏、两轴双核”国土空间总体格局，其中“一区”为安宁河流域粮油主产区；“两屏”为青藏高原和云贵高原两大生态屏障区；“两轴双核”</w:t>
      </w:r>
      <w:r>
        <w:rPr>
          <w:rFonts w:eastAsia="仿宋_GB2312"/>
          <w:color w:val="000000"/>
          <w:kern w:val="0"/>
          <w:sz w:val="32"/>
          <w:szCs w:val="32"/>
        </w:rPr>
        <w:t>指安宁河谷综合发展主轴</w:t>
      </w:r>
      <w:r>
        <w:rPr>
          <w:rFonts w:hint="eastAsia" w:eastAsia="仿宋_GB2312"/>
          <w:color w:val="000000"/>
          <w:kern w:val="0"/>
          <w:sz w:val="32"/>
          <w:szCs w:val="32"/>
        </w:rPr>
        <w:t>、</w:t>
      </w:r>
      <w:r>
        <w:rPr>
          <w:rFonts w:eastAsia="仿宋_GB2312"/>
          <w:color w:val="000000"/>
          <w:kern w:val="0"/>
          <w:sz w:val="32"/>
          <w:szCs w:val="32"/>
        </w:rPr>
        <w:t>金沙江综合发展副轴</w:t>
      </w:r>
      <w:r>
        <w:rPr>
          <w:rFonts w:hint="eastAsia" w:eastAsia="仿宋_GB2312"/>
          <w:color w:val="000000"/>
          <w:kern w:val="0"/>
          <w:sz w:val="32"/>
          <w:szCs w:val="32"/>
        </w:rPr>
        <w:t>以及</w:t>
      </w:r>
      <w:r>
        <w:rPr>
          <w:rFonts w:eastAsia="仿宋_GB2312"/>
          <w:color w:val="000000"/>
          <w:kern w:val="0"/>
          <w:sz w:val="32"/>
          <w:szCs w:val="32"/>
        </w:rPr>
        <w:t>攀枝花市和西昌市两大核心城市</w:t>
      </w:r>
      <w:r>
        <w:rPr>
          <w:rFonts w:hint="eastAsia" w:eastAsia="仿宋_GB2312"/>
          <w:color w:val="000000"/>
          <w:kern w:val="0"/>
          <w:sz w:val="32"/>
          <w:szCs w:val="32"/>
        </w:rPr>
        <w:t>。</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ascii="楷体_GB2312" w:hAnsi="楷体_GB2312" w:eastAsia="楷体_GB2312" w:cs="楷体_GB2312"/>
          <w:color w:val="000000"/>
          <w:kern w:val="0"/>
          <w:sz w:val="32"/>
          <w:szCs w:val="32"/>
        </w:rPr>
        <w:t>落实锚固高质量发展的空间底线</w:t>
      </w:r>
    </w:p>
    <w:p>
      <w:pPr>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重点保护安宁河流域的优质耕地和现状永久基本农田。落实四川省下达的耕地保有量60.71万公顷（910.68万亩），永久基本农田保护面积42.49万公顷（637.37万亩）；全域生态保护红线面积约为170.84万公顷（2562.66万亩）；城镇开发边界总规模控制约为4.41万公顷（66.19万亩）。</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夯实“天府第二粮仓”农业空间基础</w:t>
      </w:r>
    </w:p>
    <w:p>
      <w:pPr>
        <w:spacing w:line="600" w:lineRule="exact"/>
        <w:ind w:firstLine="640"/>
        <w:rPr>
          <w:rFonts w:hint="eastAsia" w:ascii="仿宋_GB2312" w:hAnsi="仿宋_GB2312" w:eastAsia="仿宋_GB2312" w:cs="仿宋_GB2312"/>
          <w:color w:val="000000"/>
          <w:kern w:val="0"/>
          <w:sz w:val="32"/>
          <w:szCs w:val="32"/>
        </w:rPr>
      </w:pPr>
      <w:bookmarkStart w:id="0" w:name="_GoBack"/>
      <w:r>
        <w:rPr>
          <w:rFonts w:hint="eastAsia" w:ascii="仿宋_GB2312" w:hAnsi="仿宋_GB2312" w:eastAsia="仿宋_GB2312" w:cs="仿宋_GB2312"/>
          <w:color w:val="000000"/>
          <w:kern w:val="0"/>
          <w:sz w:val="32"/>
          <w:szCs w:val="32"/>
        </w:rPr>
        <w:t>落实国家和四川省粮食安全保障要求，坚持最严格的耕地保护制度，稳定耕地总量，严格落实耕地占补平衡、进出平衡制度，加强高标准农田建设，促进耕地增量提质。综合自然地理条件，划分四大农业片区，构建山地特色、安全高效的农业空间格局，抓紧抓好粮食和重要农产品稳产保供，为四川从农业大省向农业强省跨越强化空间支撑。</w:t>
      </w:r>
    </w:p>
    <w:bookmarkEnd w:id="0"/>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筑牢长江上游生态屏障</w:t>
      </w:r>
    </w:p>
    <w:p>
      <w:pPr>
        <w:spacing w:line="600" w:lineRule="exact"/>
        <w:ind w:firstLine="640"/>
        <w:rPr>
          <w:rFonts w:hint="eastAsia" w:eastAsia="仿宋_GB2312"/>
          <w:color w:val="000000"/>
          <w:kern w:val="0"/>
          <w:sz w:val="32"/>
          <w:szCs w:val="32"/>
        </w:rPr>
      </w:pPr>
      <w:r>
        <w:rPr>
          <w:rFonts w:hint="eastAsia" w:eastAsia="仿宋_GB2312"/>
          <w:color w:val="000000"/>
          <w:kern w:val="0"/>
          <w:sz w:val="32"/>
          <w:szCs w:val="32"/>
        </w:rPr>
        <w:t>筑牢国家生态安全屏障，建立以自然保护区为主体的自然保护地体系，加强25处自然保护地建设；以关键生物多样性地区、珍稀野生动物生态廊道和候鸟迁飞通道为重点，全面推进生物多样性保护，统筹推进山水林田湖草沙整体保护、系统修复、综合治理，重点保护好森林、草原和河湖湿地等重点生态资源要素，全力支撑美丽四川建设，促进人与自然和谐共生。</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打造宜居韧性的城镇空间</w:t>
      </w:r>
    </w:p>
    <w:p>
      <w:pPr>
        <w:spacing w:line="600" w:lineRule="exact"/>
        <w:ind w:firstLine="640"/>
        <w:rPr>
          <w:rFonts w:hint="eastAsia" w:eastAsia="仿宋_GB2312"/>
          <w:color w:val="000000"/>
          <w:kern w:val="0"/>
          <w:sz w:val="32"/>
          <w:szCs w:val="32"/>
        </w:rPr>
      </w:pPr>
      <w:r>
        <w:rPr>
          <w:rFonts w:hint="eastAsia" w:eastAsia="仿宋_GB2312"/>
          <w:color w:val="000000"/>
          <w:kern w:val="0"/>
          <w:sz w:val="32"/>
          <w:szCs w:val="32"/>
        </w:rPr>
        <w:t>突出“中部协同、两翼严控”的总体思路，以安宁河流域为主优化城镇体系，发挥两翼山区县城及乡镇的特色优势；按照区域级、节点级、县级、街道（乡镇）级、村（社区）级五个层级完善城乡公共服务设施配置；推进西昌钒钛产业园区、冕宁县稀土经济开发区等工业园区与城镇协调布局，促进产城融合协同发展；提高建设用地集约利用水平，有序推进城市有机更新，提升城市空间品质。整体共同形成河谷引领、轴线带动、点状支撑的多层次、网络化空间发展格局，建设四川省共同富裕新样板。</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强化高质量发展的空间布局支撑</w:t>
      </w:r>
    </w:p>
    <w:p>
      <w:pPr>
        <w:spacing w:line="600" w:lineRule="exact"/>
        <w:ind w:firstLine="640"/>
        <w:rPr>
          <w:rFonts w:hint="eastAsia" w:eastAsia="仿宋_GB2312"/>
          <w:color w:val="000000"/>
          <w:kern w:val="0"/>
          <w:sz w:val="32"/>
          <w:szCs w:val="32"/>
        </w:rPr>
      </w:pPr>
      <w:r>
        <w:rPr>
          <w:rFonts w:hint="eastAsia" w:eastAsia="仿宋_GB2312"/>
          <w:color w:val="000000"/>
          <w:kern w:val="0"/>
          <w:sz w:val="32"/>
          <w:szCs w:val="32"/>
        </w:rPr>
        <w:t>统筹乡村一二三产业融合发展空间，强化乡村振兴项目用地保障，因地制宜分四类推进优化农村居民点空间，完善乡村基础设施，扎实推进宜居宜业和美乡村建设；完善地震和地质灾害防御与应急管理体系，以地震、地质灾害、森林火灾为重点，综合评判各类自然灾害分布特征和危险程度，提出各类重大灾害应对和防范措施，完善区域应急救援体系；严格落实“三区三线”划定成果，优化矿产资源勘查和开发空间布局，促进资源可持续开发利用，全面推进攀西战略资源创新开发试验区建设；全面融入国家重大交通、水利、能源等基础设施网络，加快形成开放高效的综合交通与基础设施体系；以南丝路文化、民族文化、长征红色文化、工业文化（三线建设）和生态文化为重点，发挥阳光生态、文化资源优势，加快打造阳光康养度假旅游“后花园”；以生态环境共保共治、旅游格局互通互荣等为重点，加强攀西经济区与相邻省市及片区的空间协调，以安宁河流域和德昌—米易、盐边—盐源等区域为重点，推动毗邻地区协同发展。</w:t>
      </w:r>
    </w:p>
    <w:p>
      <w:pPr>
        <w:pStyle w:val="9"/>
        <w:numPr>
          <w:ilvl w:val="0"/>
          <w:numId w:val="1"/>
        </w:numPr>
        <w:spacing w:line="600" w:lineRule="exact"/>
        <w:ind w:firstLineChars="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规划实施保障</w:t>
      </w:r>
    </w:p>
    <w:p>
      <w:pPr>
        <w:spacing w:line="600" w:lineRule="exact"/>
        <w:ind w:firstLine="640"/>
        <w:rPr>
          <w:rFonts w:hint="eastAsia" w:eastAsia="仿宋_GB2312"/>
          <w:color w:val="000000"/>
          <w:kern w:val="0"/>
          <w:sz w:val="32"/>
          <w:szCs w:val="32"/>
        </w:rPr>
      </w:pPr>
      <w:r>
        <w:rPr>
          <w:rFonts w:hint="eastAsia" w:eastAsia="仿宋_GB2312"/>
          <w:color w:val="000000"/>
          <w:kern w:val="0"/>
          <w:sz w:val="32"/>
          <w:szCs w:val="32"/>
        </w:rPr>
        <w:t>以市州为传导单元，构建“战略引导、刚性管控、清单管理”的综合传导体系，对市州国土空间规划的空间格局、管控名录以及基础设施布局等内容提出指导要求，确保攀西经济区国土空间战略部署和各类开发保护要求得到充分落实；建立规划定期评估、预警和及时维护制度，加强规划实施的执法监督与绩效考核，探索功能协调区“复合型”管理模式、创新土地利用政策支撑乡村振兴发展、健全流域生态补偿机制等方面的政策创新。</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E24106"/>
    <w:multiLevelType w:val="multilevel"/>
    <w:tmpl w:val="3AE24106"/>
    <w:lvl w:ilvl="0" w:tentative="0">
      <w:start w:val="1"/>
      <w:numFmt w:val="japaneseCounting"/>
      <w:lvlText w:val="（%1）"/>
      <w:lvlJc w:val="left"/>
      <w:pPr>
        <w:ind w:left="1585" w:hanging="94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2NzY0ZTllMWM3MmY3MTFhYmRhMzMxOTFhZjg0OGYifQ=="/>
  </w:docVars>
  <w:rsids>
    <w:rsidRoot w:val="4835331E"/>
    <w:rsid w:val="00014BCB"/>
    <w:rsid w:val="00074148"/>
    <w:rsid w:val="00137962"/>
    <w:rsid w:val="001857EA"/>
    <w:rsid w:val="003145DF"/>
    <w:rsid w:val="0033094B"/>
    <w:rsid w:val="00354873"/>
    <w:rsid w:val="00383661"/>
    <w:rsid w:val="00390D56"/>
    <w:rsid w:val="003E7A95"/>
    <w:rsid w:val="0046521B"/>
    <w:rsid w:val="004C000F"/>
    <w:rsid w:val="00517397"/>
    <w:rsid w:val="005C0A60"/>
    <w:rsid w:val="006A39CC"/>
    <w:rsid w:val="006E4698"/>
    <w:rsid w:val="00727FF2"/>
    <w:rsid w:val="007635B2"/>
    <w:rsid w:val="008D382D"/>
    <w:rsid w:val="00912465"/>
    <w:rsid w:val="0094606F"/>
    <w:rsid w:val="009A77F8"/>
    <w:rsid w:val="00A0243F"/>
    <w:rsid w:val="00AA7A1A"/>
    <w:rsid w:val="00AE0D85"/>
    <w:rsid w:val="00AE29CB"/>
    <w:rsid w:val="00AF06BB"/>
    <w:rsid w:val="00B33400"/>
    <w:rsid w:val="00B64D42"/>
    <w:rsid w:val="00BC6053"/>
    <w:rsid w:val="00BF5D58"/>
    <w:rsid w:val="00E93630"/>
    <w:rsid w:val="00EF0F84"/>
    <w:rsid w:val="00F32A47"/>
    <w:rsid w:val="00FA1296"/>
    <w:rsid w:val="4835331E"/>
    <w:rsid w:val="7FEF8FE6"/>
    <w:rsid w:val="FD2FB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eastAsia="宋体" w:cs="Times New Roman"/>
      <w:kern w:val="2"/>
      <w:sz w:val="18"/>
      <w:szCs w:val="18"/>
    </w:rPr>
  </w:style>
  <w:style w:type="character" w:customStyle="1" w:styleId="8">
    <w:name w:val="页脚 Char"/>
    <w:basedOn w:val="6"/>
    <w:link w:val="3"/>
    <w:qFormat/>
    <w:uiPriority w:val="0"/>
    <w:rPr>
      <w:rFonts w:ascii="Calibri" w:hAnsi="Calibri" w:eastAsia="宋体" w:cs="Times New Roman"/>
      <w:kern w:val="2"/>
      <w:sz w:val="18"/>
      <w:szCs w:val="18"/>
    </w:rPr>
  </w:style>
  <w:style w:type="paragraph" w:styleId="9">
    <w:name w:val="List Paragraph"/>
    <w:basedOn w:val="1"/>
    <w:qFormat/>
    <w:uiPriority w:val="99"/>
    <w:pPr>
      <w:ind w:firstLine="420" w:firstLineChars="200"/>
    </w:pPr>
  </w:style>
  <w:style w:type="character" w:customStyle="1" w:styleId="10">
    <w:name w:val="fontstyle01"/>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334</Words>
  <Characters>1904</Characters>
  <Lines>15</Lines>
  <Paragraphs>4</Paragraphs>
  <TotalTime>285</TotalTime>
  <ScaleCrop>false</ScaleCrop>
  <LinksUpToDate>false</LinksUpToDate>
  <CharactersWithSpaces>2234</CharactersWithSpaces>
  <Application>WPS Office_11.8.2.1121_F1E327BC-269C-435d-A152-05C5408002CA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2023-02-28T18:48:00Z</dcterms:created>
  <dc:creator>Administrator</dc:creator>
  <cp:lastModifiedBy>Cy</cp:lastModifiedBy>
  <dcterms:modified xsi:type="dcterms:W3CDTF">2023-03-09T10:55:00Z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2052-11.8.2.1121</vt:lpwstr>
  </property>
  <property fmtid="{D5CDD505-2E9C-101B-9397-08002B2CF9AE}" pid="3" name="ICV">
    <vt:lpwstr>EB2F2BC6FB734AFAA32A47154926F14A</vt:lpwstr>
  </property>
</Properties>
</file>